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1E" w:rsidRPr="00F0138C" w:rsidRDefault="0049011E" w:rsidP="0049011E">
      <w:pPr>
        <w:spacing w:after="0" w:line="240" w:lineRule="auto"/>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 xml:space="preserve">  ANEXA 31 C</w:t>
      </w:r>
    </w:p>
    <w:p w:rsidR="0049011E" w:rsidRPr="00F0138C" w:rsidRDefault="0049011E" w:rsidP="0049011E">
      <w:pPr>
        <w:spacing w:after="0" w:line="240" w:lineRule="auto"/>
        <w:jc w:val="center"/>
        <w:rPr>
          <w:rFonts w:ascii="Times New Roman" w:eastAsia="Calibri" w:hAnsi="Times New Roman" w:cs="Times New Roman"/>
          <w:sz w:val="24"/>
          <w:szCs w:val="24"/>
          <w:lang w:eastAsia="en-US"/>
        </w:rPr>
      </w:pPr>
    </w:p>
    <w:p w:rsidR="0049011E" w:rsidRPr="00F0138C" w:rsidRDefault="0049011E" w:rsidP="0049011E">
      <w:pPr>
        <w:spacing w:after="0" w:line="240" w:lineRule="auto"/>
        <w:jc w:val="center"/>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t>RECOMANDARE</w:t>
      </w:r>
    </w:p>
    <w:p w:rsidR="0049011E" w:rsidRPr="00F0138C" w:rsidRDefault="0049011E" w:rsidP="0049011E">
      <w:pPr>
        <w:spacing w:after="0" w:line="240" w:lineRule="auto"/>
        <w:jc w:val="center"/>
        <w:rPr>
          <w:rFonts w:ascii="Times New Roman" w:eastAsia="Calibri" w:hAnsi="Times New Roman" w:cs="Times New Roman"/>
          <w:sz w:val="24"/>
          <w:szCs w:val="24"/>
          <w:lang w:eastAsia="en-US"/>
        </w:rPr>
      </w:pPr>
      <w:r w:rsidRPr="00F0138C">
        <w:rPr>
          <w:rFonts w:ascii="Times New Roman" w:eastAsia="Calibri" w:hAnsi="Times New Roman" w:cs="Times New Roman"/>
          <w:b/>
          <w:bCs/>
          <w:sz w:val="24"/>
          <w:szCs w:val="24"/>
          <w:lang w:eastAsia="en-US"/>
        </w:rPr>
        <w:t>pentru îngrijiri medicale la domiciliu</w:t>
      </w:r>
    </w:p>
    <w:p w:rsidR="0049011E" w:rsidRPr="00F0138C" w:rsidRDefault="0049011E" w:rsidP="0049011E">
      <w:pPr>
        <w:spacing w:after="0" w:line="240" w:lineRule="auto"/>
        <w:jc w:val="center"/>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Nr.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I. Furnizorul de servicii medicale din ambulatoriul de specialitate</w:t>
      </w:r>
      <w:r w:rsidRPr="00F0138C">
        <w:rPr>
          <w:rFonts w:ascii="Times New Roman" w:eastAsia="Calibri" w:hAnsi="Times New Roman" w:cs="Times New Roman"/>
          <w:sz w:val="24"/>
          <w:szCs w:val="24"/>
          <w:lang w:eastAsia="en-US"/>
        </w:rPr>
        <w:t xml:space="preserve"> inclusiv medicul de familie, unitatea sanitară cu paturi (spitalul) ...................... C.U.I.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Nr. contract ........... încheiat cu Casa de Asigurări de Sănătate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 Numele şi prenumele asiguratului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2. Telefon asigurat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3. Domiciliul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4. Adresa declarată unde se vor acorda serviciile de îngrijiri medicale la domiciliu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5. Codul numeric personal al asiguratului/cod unic de asigurare ..........</w:t>
      </w:r>
    </w:p>
    <w:p w:rsidR="007648DA" w:rsidRPr="007648DA" w:rsidRDefault="007648DA" w:rsidP="007648DA">
      <w:pPr>
        <w:pStyle w:val="Default"/>
      </w:pPr>
      <w:r w:rsidRPr="007648DA">
        <w:t xml:space="preserve">    6. </w:t>
      </w:r>
      <w:proofErr w:type="spellStart"/>
      <w:r w:rsidRPr="007648DA">
        <w:t>Pacient</w:t>
      </w:r>
      <w:proofErr w:type="spellEnd"/>
      <w:r w:rsidRPr="007648DA">
        <w:t xml:space="preserve"> </w:t>
      </w:r>
      <w:proofErr w:type="spellStart"/>
      <w:r w:rsidRPr="007648DA">
        <w:t>diagnosticat</w:t>
      </w:r>
      <w:proofErr w:type="spellEnd"/>
      <w:r w:rsidRPr="007648DA">
        <w:t xml:space="preserve"> cu </w:t>
      </w:r>
      <w:proofErr w:type="spellStart"/>
      <w:r w:rsidRPr="007648DA">
        <w:rPr>
          <w:b/>
        </w:rPr>
        <w:t>afecțiune</w:t>
      </w:r>
      <w:proofErr w:type="spellEnd"/>
      <w:r w:rsidRPr="007648DA">
        <w:rPr>
          <w:b/>
        </w:rPr>
        <w:t xml:space="preserve"> </w:t>
      </w:r>
      <w:proofErr w:type="spellStart"/>
      <w:r w:rsidRPr="007648DA">
        <w:rPr>
          <w:b/>
        </w:rPr>
        <w:t>oncologică</w:t>
      </w:r>
      <w:proofErr w:type="spellEnd"/>
      <w:r w:rsidRPr="007648DA">
        <w:rPr>
          <w:b/>
        </w:rPr>
        <w:t xml:space="preserve"> DA _ /NU_</w:t>
      </w:r>
      <w:r w:rsidRPr="007648DA">
        <w:t xml:space="preserve"> </w:t>
      </w:r>
    </w:p>
    <w:p w:rsidR="007648DA" w:rsidRPr="007648DA" w:rsidRDefault="007648DA" w:rsidP="007648DA">
      <w:pPr>
        <w:pStyle w:val="Default"/>
      </w:pPr>
      <w:proofErr w:type="spellStart"/>
      <w:r w:rsidRPr="007648DA">
        <w:t>Diagnosticul</w:t>
      </w:r>
      <w:proofErr w:type="spellEnd"/>
      <w:r w:rsidRPr="007648DA">
        <w:t xml:space="preserve"> medical </w:t>
      </w:r>
      <w:proofErr w:type="spellStart"/>
      <w:r w:rsidRPr="007648DA">
        <w:t>şi</w:t>
      </w:r>
      <w:proofErr w:type="spellEnd"/>
      <w:r w:rsidRPr="007648DA">
        <w:t xml:space="preserve"> diagnostic </w:t>
      </w:r>
      <w:proofErr w:type="spellStart"/>
      <w:r w:rsidRPr="007648DA">
        <w:t>boli</w:t>
      </w:r>
      <w:proofErr w:type="spellEnd"/>
      <w:r w:rsidRPr="007648DA">
        <w:t xml:space="preserve"> </w:t>
      </w:r>
      <w:proofErr w:type="spellStart"/>
      <w:r w:rsidRPr="007648DA">
        <w:t>asociate</w:t>
      </w:r>
      <w:proofErr w:type="spellEnd"/>
      <w:r w:rsidRPr="007648DA">
        <w:t xml:space="preserve">, cod diagnostic…………. </w:t>
      </w:r>
    </w:p>
    <w:p w:rsidR="007648DA" w:rsidRPr="007648DA" w:rsidRDefault="007648DA" w:rsidP="007648DA">
      <w:pPr>
        <w:pStyle w:val="Default"/>
      </w:pPr>
      <w:r w:rsidRPr="007648DA">
        <w:t xml:space="preserve">.......................................................................... </w:t>
      </w:r>
    </w:p>
    <w:p w:rsidR="007648DA" w:rsidRPr="007648DA" w:rsidRDefault="007648DA" w:rsidP="007648DA">
      <w:pPr>
        <w:spacing w:after="0" w:line="240" w:lineRule="auto"/>
        <w:jc w:val="both"/>
        <w:rPr>
          <w:rFonts w:ascii="Times New Roman" w:hAnsi="Times New Roman" w:cs="Times New Roman"/>
          <w:sz w:val="24"/>
          <w:szCs w:val="24"/>
        </w:rPr>
      </w:pPr>
      <w:r w:rsidRPr="007648DA">
        <w:rPr>
          <w:rFonts w:ascii="Times New Roman" w:hAnsi="Times New Roman" w:cs="Times New Roman"/>
          <w:sz w:val="24"/>
          <w:szCs w:val="24"/>
        </w:rPr>
        <w:t xml:space="preserve">(Se va nota şi cod diagnostic; pentru înscrierea codului de diagnostic se va utiliza clasificaţia internaţională a maladiilor CIM, revizia a 10-a OMS - Lista cu 999 coduri de boală, în caractere numerice.)” </w:t>
      </w:r>
    </w:p>
    <w:p w:rsidR="0049011E" w:rsidRPr="00F0138C" w:rsidRDefault="0049011E" w:rsidP="007648DA">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7. statusul de performanţă ECOG</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ECOG 3 - pacientul este incapabil să desfăşoare activităţi casnice, este imobilizat în fotoliu sau pat peste 50% din timpul zilei, necesită sprijin pentru îngrijirea de bază (igienă şi/sau alimentaţie şi/sau mobilizare)  ................................................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ECOG 4 - pacientul este complet imobilizat la pat, dependent total de altă persoană pentru îngrijirea de bază (igienă, alimentaţie, mobilizare)……………………………</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8. Servicii de îngrijiri recomandate  (periodicitatea/ritmicitatea serviciilor recomandate se stabileşte pentru fiecare tip de serviciu în parte, în concordanţă cu diagnosticul, cu patologia pacientului şi statusul de performanţă ECOG al acestuia)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tbl>
      <w:tblPr>
        <w:tblStyle w:val="TableGrid12"/>
        <w:tblW w:w="9288" w:type="dxa"/>
        <w:tblLayout w:type="fixed"/>
        <w:tblLook w:val="04A0"/>
      </w:tblPr>
      <w:tblGrid>
        <w:gridCol w:w="629"/>
        <w:gridCol w:w="6097"/>
        <w:gridCol w:w="2562"/>
      </w:tblGrid>
      <w:tr w:rsidR="0049011E" w:rsidRPr="00F0138C" w:rsidTr="000D5E20">
        <w:trPr>
          <w:trHeight w:val="410"/>
        </w:trPr>
        <w:tc>
          <w:tcPr>
            <w:tcW w:w="629"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Nr. crt.</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Serviciul de îngrijire medicală la domiciliu          </w:t>
            </w:r>
          </w:p>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w:t>
            </w:r>
          </w:p>
        </w:tc>
        <w:tc>
          <w:tcPr>
            <w:tcW w:w="2562"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Periodicitate/Ritmicitate</w:t>
            </w:r>
          </w:p>
        </w:tc>
      </w:tr>
      <w:tr w:rsidR="0049011E" w:rsidRPr="00F0138C" w:rsidTr="000D5E20">
        <w:trPr>
          <w:trHeight w:val="104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Măsurarea parametrilor fiziologici: temperatură, respiraţie, puls, TA, diureză şi scaun;                            </w:t>
            </w:r>
          </w:p>
          <w:p w:rsidR="0049011E" w:rsidRPr="00F0138C" w:rsidRDefault="0049011E" w:rsidP="0049011E">
            <w:pPr>
              <w:numPr>
                <w:ilvl w:val="0"/>
                <w:numId w:val="2"/>
              </w:numPr>
              <w:contextualSpacing/>
              <w:rPr>
                <w:rFonts w:ascii="Times New Roman" w:hAnsi="Times New Roman" w:cs="Times New Roman"/>
                <w:sz w:val="24"/>
                <w:szCs w:val="24"/>
              </w:rPr>
            </w:pPr>
            <w:r w:rsidRPr="00F0138C">
              <w:rPr>
                <w:rFonts w:ascii="Times New Roman" w:eastAsia="Calibri" w:hAnsi="Times New Roman" w:cs="Times New Roman"/>
                <w:sz w:val="24"/>
                <w:szCs w:val="24"/>
              </w:rPr>
              <w:t xml:space="preserve"> recomandarea serviciului se face de către medici pentru toţi parametrii prevăzuţi, respectiv: temperatură, respiraţie, puls, TA, diureză şi scaun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val="restart"/>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Administrarea medicamentelor: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2.1. intramuscular - în afara injecţiilor cu produse de origine umană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2.2. subcutanat - în afara injecţiilor cu produse de origine umană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2.3. intradermic  - în afara injecţiilor cu produse de origine  umană</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2.4. oral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vMerge/>
          </w:tcPr>
          <w:p w:rsidR="0049011E" w:rsidRPr="00F0138C" w:rsidRDefault="0049011E" w:rsidP="000D5E20">
            <w:pPr>
              <w:rPr>
                <w:rFonts w:ascii="Times New Roman" w:hAnsi="Times New Roman" w:cs="Times New Roman"/>
                <w:sz w:val="24"/>
                <w:szCs w:val="24"/>
              </w:rPr>
            </w:pP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2.5. pe mucoase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45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3.</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Administrarea medicamentelor intravenos - în afara injecţiilor şi perfuziilor cu produse de origine umană, cu respectarea  legislaţiei în vigoare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04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lastRenderedPageBreak/>
              <w:t>4.</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Sondaj vezical, îngrijirea sondei urinare şi administrarea medicamentelor intravezical pe sondă vezicală, la bărbaţi se efectuează de către medicul care îşi desfăşoară activitatea într-o formă legală la furnizorul de îngrijiri medicale la domiciliu</w:t>
            </w:r>
          </w:p>
          <w:p w:rsidR="0049011E" w:rsidRPr="00F0138C" w:rsidRDefault="0049011E" w:rsidP="0049011E">
            <w:pPr>
              <w:numPr>
                <w:ilvl w:val="0"/>
                <w:numId w:val="2"/>
              </w:numPr>
              <w:contextualSpacing/>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implică obligatoriu toaleta locală genitală şi schimbarea sondei fixe la 6 zile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83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5.</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Administrarea medicamentelor prin perfuzie endovenoasă, cu  respectarea legislaţiei în vigoare, în afara perfuziilor cu produse de origine umană.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41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6.</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Alimentarea artificială pe gastrostomă/sondă gastrică/nazogastrică şi educarea asiguratului/aparţinătorilor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41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7.</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Alimentarea pasivă, pentru bolnavii cu tulburări de deglutiţie, inclusiv instruirea asiguratului/aparţinătorului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8.</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Clismă cu scop evacuator /terapeutic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9.</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Spălătură vaginală în cazuri de deficit motor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83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10.</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Manevre terapeutice pentru evitarea complicaţiilor vasculare ale membrelor inferioare/escarelor de decubit: mobilizare, masaj, aplicaţii medicamentoase, utilizarea colacilor de cauciuc şi a rulourilor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41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11.</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Manevre terapeutice pentru evitarea complicaţiilor pulmonare: </w:t>
            </w:r>
          </w:p>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posturi de drenaj bronşic, tapotaj, fizioterapie respiratorie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29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12.</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plăgilor simple şi/sau suprainfectate/suprimarea firelor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13.</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escarelor multiple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14.</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stomelor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15.</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fistulelor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16.</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tubului de dren şi instruirea asiguratului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141"/>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17.</w:t>
            </w:r>
          </w:p>
        </w:tc>
        <w:tc>
          <w:tcPr>
            <w:tcW w:w="6097" w:type="dxa"/>
          </w:tcPr>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Îngrijirea canulei traheale şi instruirea asiguratului        </w:t>
            </w:r>
          </w:p>
        </w:tc>
        <w:tc>
          <w:tcPr>
            <w:tcW w:w="2562" w:type="dxa"/>
          </w:tcPr>
          <w:p w:rsidR="0049011E" w:rsidRPr="00F0138C" w:rsidRDefault="0049011E" w:rsidP="000D5E20">
            <w:pPr>
              <w:rPr>
                <w:rFonts w:ascii="Times New Roman" w:hAnsi="Times New Roman" w:cs="Times New Roman"/>
                <w:sz w:val="24"/>
                <w:szCs w:val="24"/>
              </w:rPr>
            </w:pPr>
          </w:p>
        </w:tc>
      </w:tr>
      <w:tr w:rsidR="0049011E" w:rsidRPr="00F0138C" w:rsidTr="000D5E20">
        <w:trPr>
          <w:trHeight w:val="83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18.</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Aplicarea de ploscă, bazinet, condom urinar, mijloc ajutător pentru absorbţia urinei; este inclus şi mijlocul ajutător pentru absorbţia urinei, minim 2 mijloace ajutătoare pentru absorbţia urinei/zi.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460"/>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19.</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Alimentaţie parenterală - alimentaţie artificială pe cateter venos central sau periferic; se acordă de către </w:t>
            </w:r>
            <w:proofErr w:type="spellStart"/>
            <w:r w:rsidRPr="00F0138C">
              <w:rPr>
                <w:rFonts w:ascii="Times New Roman" w:eastAsia="Calibri" w:hAnsi="Times New Roman" w:cs="Times New Roman"/>
                <w:sz w:val="24"/>
                <w:szCs w:val="24"/>
                <w:lang w:val="en-US"/>
              </w:rPr>
              <w:t>spitalele</w:t>
            </w:r>
            <w:proofErr w:type="spellEnd"/>
            <w:r w:rsidRPr="00F0138C">
              <w:rPr>
                <w:rFonts w:ascii="Times New Roman" w:eastAsia="Calibri" w:hAnsi="Times New Roman" w:cs="Times New Roman"/>
                <w:sz w:val="24"/>
                <w:szCs w:val="24"/>
                <w:lang w:val="en-US"/>
              </w:rPr>
              <w:t xml:space="preserve"> cu </w:t>
            </w:r>
            <w:proofErr w:type="spellStart"/>
            <w:r w:rsidRPr="00F0138C">
              <w:rPr>
                <w:rFonts w:ascii="Times New Roman" w:eastAsia="Calibri" w:hAnsi="Times New Roman" w:cs="Times New Roman"/>
                <w:sz w:val="24"/>
                <w:szCs w:val="24"/>
                <w:lang w:val="en-US"/>
              </w:rPr>
              <w:t>structuri</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organizate</w:t>
            </w:r>
            <w:proofErr w:type="spellEnd"/>
            <w:r w:rsidRPr="00F0138C">
              <w:rPr>
                <w:rFonts w:ascii="Times New Roman" w:eastAsia="Calibri" w:hAnsi="Times New Roman" w:cs="Times New Roman"/>
                <w:sz w:val="24"/>
                <w:szCs w:val="24"/>
                <w:lang w:val="en-US"/>
              </w:rPr>
              <w:t xml:space="preserve"> ca </w:t>
            </w:r>
            <w:proofErr w:type="spellStart"/>
            <w:r w:rsidRPr="00F0138C">
              <w:rPr>
                <w:rFonts w:ascii="Times New Roman" w:eastAsia="Calibri" w:hAnsi="Times New Roman" w:cs="Times New Roman"/>
                <w:sz w:val="24"/>
                <w:szCs w:val="24"/>
                <w:lang w:val="en-US"/>
              </w:rPr>
              <w:t>furnizori</w:t>
            </w:r>
            <w:proofErr w:type="spellEnd"/>
            <w:r w:rsidRPr="00F0138C">
              <w:rPr>
                <w:rFonts w:ascii="Times New Roman" w:eastAsia="Calibri" w:hAnsi="Times New Roman" w:cs="Times New Roman"/>
                <w:sz w:val="24"/>
                <w:szCs w:val="24"/>
                <w:lang w:val="en-US"/>
              </w:rPr>
              <w:t xml:space="preserve"> de </w:t>
            </w:r>
            <w:proofErr w:type="spellStart"/>
            <w:r w:rsidRPr="00F0138C">
              <w:rPr>
                <w:rFonts w:ascii="Times New Roman" w:eastAsia="Calibri" w:hAnsi="Times New Roman" w:cs="Times New Roman"/>
                <w:sz w:val="24"/>
                <w:szCs w:val="24"/>
                <w:lang w:val="en-US"/>
              </w:rPr>
              <w:t>îngrijiri</w:t>
            </w:r>
            <w:proofErr w:type="spellEnd"/>
            <w:r w:rsidRPr="00F0138C">
              <w:rPr>
                <w:rFonts w:ascii="Times New Roman" w:eastAsia="Calibri" w:hAnsi="Times New Roman" w:cs="Times New Roman"/>
                <w:sz w:val="24"/>
                <w:szCs w:val="24"/>
                <w:lang w:val="en-US"/>
              </w:rPr>
              <w:t xml:space="preserve"> la </w:t>
            </w:r>
            <w:proofErr w:type="spellStart"/>
            <w:r w:rsidRPr="00F0138C">
              <w:rPr>
                <w:rFonts w:ascii="Times New Roman" w:eastAsia="Calibri" w:hAnsi="Times New Roman" w:cs="Times New Roman"/>
                <w:sz w:val="24"/>
                <w:szCs w:val="24"/>
                <w:lang w:val="en-US"/>
              </w:rPr>
              <w:t>domiciliu</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autorizate</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să</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efectueze</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acest</w:t>
            </w:r>
            <w:proofErr w:type="spellEnd"/>
            <w:r w:rsidRPr="00F0138C">
              <w:rPr>
                <w:rFonts w:ascii="Times New Roman" w:eastAsia="Calibri" w:hAnsi="Times New Roman" w:cs="Times New Roman"/>
                <w:sz w:val="24"/>
                <w:szCs w:val="24"/>
                <w:lang w:val="en-US"/>
              </w:rPr>
              <w:t xml:space="preserve"> tip de </w:t>
            </w:r>
            <w:proofErr w:type="spellStart"/>
            <w:r w:rsidRPr="00F0138C">
              <w:rPr>
                <w:rFonts w:ascii="Times New Roman" w:eastAsia="Calibri" w:hAnsi="Times New Roman" w:cs="Times New Roman"/>
                <w:sz w:val="24"/>
                <w:szCs w:val="24"/>
                <w:lang w:val="en-US"/>
              </w:rPr>
              <w:t>serviciu</w:t>
            </w:r>
            <w:proofErr w:type="spellEnd"/>
            <w:r w:rsidRPr="00F0138C">
              <w:rPr>
                <w:rFonts w:ascii="Times New Roman" w:eastAsia="Calibri" w:hAnsi="Times New Roman" w:cs="Times New Roman"/>
                <w:sz w:val="24"/>
                <w:szCs w:val="24"/>
                <w:lang w:val="en-US"/>
              </w:rPr>
              <w:t>.</w:t>
            </w:r>
          </w:p>
          <w:p w:rsidR="0049011E" w:rsidRPr="00F0138C" w:rsidRDefault="0049011E" w:rsidP="000D5E20">
            <w:pPr>
              <w:jc w:val="both"/>
              <w:rPr>
                <w:rFonts w:ascii="Times New Roman" w:hAnsi="Times New Roman" w:cs="Times New Roman"/>
                <w:sz w:val="24"/>
                <w:szCs w:val="24"/>
                <w:lang w:val="en-US"/>
              </w:rPr>
            </w:pPr>
            <w:r w:rsidRPr="00F0138C">
              <w:rPr>
                <w:rFonts w:ascii="Times New Roman" w:eastAsia="Calibri" w:hAnsi="Times New Roman" w:cs="Times New Roman"/>
                <w:sz w:val="24"/>
                <w:szCs w:val="24"/>
              </w:rPr>
              <w:t xml:space="preserve">Serviciul nu include alimentele specifice.    </w:t>
            </w:r>
          </w:p>
          <w:p w:rsidR="0049011E" w:rsidRPr="00F0138C" w:rsidRDefault="0049011E" w:rsidP="000D5E20">
            <w:pPr>
              <w:rPr>
                <w:rFonts w:ascii="Times New Roman" w:hAnsi="Times New Roman" w:cs="Times New Roman"/>
                <w:sz w:val="24"/>
                <w:szCs w:val="24"/>
              </w:rPr>
            </w:pPr>
            <w:r w:rsidRPr="00F0138C">
              <w:rPr>
                <w:rFonts w:ascii="Times New Roman" w:eastAsia="Calibri" w:hAnsi="Times New Roman" w:cs="Times New Roman"/>
                <w:sz w:val="24"/>
                <w:szCs w:val="24"/>
              </w:rPr>
              <w:t xml:space="preserve">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949"/>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20.</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Kinetoterapie individuală                        </w:t>
            </w:r>
          </w:p>
          <w:p w:rsidR="0049011E" w:rsidRPr="00F0138C" w:rsidRDefault="0049011E" w:rsidP="0049011E">
            <w:pPr>
              <w:numPr>
                <w:ilvl w:val="0"/>
                <w:numId w:val="2"/>
              </w:numPr>
              <w:contextualSpacing/>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se efectuează doar de fizioterapeutul care îşi desfăşoară activitatea într-o formă legală la furnizorul de îngrijiri medicale la domiciliu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949"/>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21.</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Logopedie individuală                       </w:t>
            </w:r>
          </w:p>
          <w:p w:rsidR="0049011E" w:rsidRPr="00F0138C" w:rsidRDefault="0049011E" w:rsidP="0049011E">
            <w:pPr>
              <w:numPr>
                <w:ilvl w:val="0"/>
                <w:numId w:val="2"/>
              </w:numPr>
              <w:contextualSpacing/>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 se efectuează doar de logopedul, care îşi desfăşoară activitatea într-o formă legală la furnizorul de îngrijiri medicale la domiciliu            </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949"/>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lastRenderedPageBreak/>
              <w:t>22.</w:t>
            </w:r>
          </w:p>
        </w:tc>
        <w:tc>
          <w:tcPr>
            <w:tcW w:w="6097" w:type="dxa"/>
          </w:tcPr>
          <w:p w:rsidR="0049011E" w:rsidRPr="00F0138C" w:rsidRDefault="0049011E" w:rsidP="000D5E20">
            <w:pPr>
              <w:jc w:val="both"/>
              <w:rPr>
                <w:rFonts w:ascii="Times New Roman" w:hAnsi="Times New Roman" w:cs="Times New Roman"/>
                <w:sz w:val="24"/>
                <w:szCs w:val="24"/>
              </w:rPr>
            </w:pPr>
            <w:proofErr w:type="spellStart"/>
            <w:r w:rsidRPr="00F0138C">
              <w:rPr>
                <w:rFonts w:ascii="Times New Roman" w:eastAsia="Calibri" w:hAnsi="Times New Roman" w:cs="Times New Roman"/>
                <w:sz w:val="24"/>
                <w:szCs w:val="24"/>
                <w:lang w:val="en-US"/>
              </w:rPr>
              <w:t>Masajul</w:t>
            </w:r>
            <w:proofErr w:type="spellEnd"/>
            <w:r w:rsidRPr="00F0138C">
              <w:rPr>
                <w:rFonts w:ascii="Times New Roman" w:eastAsia="Calibri" w:hAnsi="Times New Roman" w:cs="Times New Roman"/>
                <w:sz w:val="24"/>
                <w:szCs w:val="24"/>
                <w:lang w:val="en-US"/>
              </w:rPr>
              <w:t xml:space="preserve"> </w:t>
            </w:r>
            <w:proofErr w:type="spellStart"/>
            <w:r w:rsidRPr="00F0138C">
              <w:rPr>
                <w:rFonts w:ascii="Times New Roman" w:eastAsia="Calibri" w:hAnsi="Times New Roman" w:cs="Times New Roman"/>
                <w:sz w:val="24"/>
                <w:szCs w:val="24"/>
                <w:lang w:val="en-US"/>
              </w:rPr>
              <w:t>limfedemului</w:t>
            </w:r>
            <w:proofErr w:type="spellEnd"/>
            <w:r w:rsidRPr="00F0138C">
              <w:rPr>
                <w:rFonts w:ascii="Times New Roman" w:eastAsia="Calibri" w:hAnsi="Times New Roman" w:cs="Times New Roman"/>
                <w:sz w:val="24"/>
                <w:szCs w:val="24"/>
                <w:lang w:val="en-US"/>
              </w:rPr>
              <w:t xml:space="preserve"> </w:t>
            </w:r>
          </w:p>
          <w:p w:rsidR="0049011E" w:rsidRPr="00F0138C" w:rsidRDefault="0049011E" w:rsidP="0049011E">
            <w:pPr>
              <w:numPr>
                <w:ilvl w:val="0"/>
                <w:numId w:val="2"/>
              </w:numPr>
              <w:contextualSpacing/>
              <w:jc w:val="both"/>
              <w:rPr>
                <w:rFonts w:ascii="Times New Roman" w:hAnsi="Times New Roman" w:cs="Times New Roman"/>
                <w:sz w:val="24"/>
                <w:szCs w:val="24"/>
              </w:rPr>
            </w:pPr>
            <w:r w:rsidRPr="00F0138C">
              <w:rPr>
                <w:rFonts w:ascii="Times New Roman" w:eastAsia="Calibri" w:hAnsi="Times New Roman" w:cs="Times New Roman"/>
                <w:sz w:val="24"/>
                <w:szCs w:val="24"/>
              </w:rPr>
              <w:t xml:space="preserve"> se efectuează doar de fizioterapeutul care îşi desfăşoară activitatea într-o formă legală la furnizorul de îngrijiri medicale la domiciliu și atestă pregătirea profesională în drenaj limfatic manual</w:t>
            </w:r>
          </w:p>
        </w:tc>
        <w:tc>
          <w:tcPr>
            <w:tcW w:w="2562" w:type="dxa"/>
          </w:tcPr>
          <w:p w:rsidR="0049011E" w:rsidRPr="00F0138C" w:rsidRDefault="0049011E" w:rsidP="000D5E20">
            <w:pPr>
              <w:jc w:val="both"/>
              <w:rPr>
                <w:rFonts w:ascii="Times New Roman" w:hAnsi="Times New Roman" w:cs="Times New Roman"/>
                <w:sz w:val="24"/>
                <w:szCs w:val="24"/>
                <w:lang w:val="en-US"/>
              </w:rPr>
            </w:pPr>
          </w:p>
        </w:tc>
      </w:tr>
      <w:tr w:rsidR="0049011E" w:rsidRPr="00F0138C" w:rsidTr="000D5E20">
        <w:trPr>
          <w:trHeight w:val="523"/>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23.</w:t>
            </w:r>
          </w:p>
        </w:tc>
        <w:tc>
          <w:tcPr>
            <w:tcW w:w="6097" w:type="dxa"/>
          </w:tcPr>
          <w:p w:rsidR="0049011E" w:rsidRPr="00F0138C" w:rsidRDefault="0049011E" w:rsidP="000D5E20">
            <w:pPr>
              <w:jc w:val="both"/>
              <w:rPr>
                <w:rFonts w:ascii="Times New Roman" w:hAnsi="Times New Roman" w:cs="Times New Roman"/>
                <w:sz w:val="24"/>
                <w:szCs w:val="24"/>
              </w:rPr>
            </w:pPr>
            <w:r w:rsidRPr="00F0138C">
              <w:rPr>
                <w:rFonts w:ascii="Times New Roman" w:eastAsia="Calibri" w:hAnsi="Times New Roman" w:cs="Times New Roman"/>
                <w:sz w:val="24"/>
                <w:szCs w:val="24"/>
              </w:rPr>
              <w:t>Evaluarea manuală a fecaloamelor</w:t>
            </w:r>
          </w:p>
        </w:tc>
        <w:tc>
          <w:tcPr>
            <w:tcW w:w="2562" w:type="dxa"/>
          </w:tcPr>
          <w:p w:rsidR="0049011E" w:rsidRPr="00F0138C" w:rsidRDefault="0049011E" w:rsidP="000D5E20">
            <w:pPr>
              <w:jc w:val="both"/>
              <w:rPr>
                <w:rFonts w:ascii="Times New Roman" w:hAnsi="Times New Roman" w:cs="Times New Roman"/>
                <w:sz w:val="24"/>
                <w:szCs w:val="24"/>
              </w:rPr>
            </w:pPr>
          </w:p>
        </w:tc>
      </w:tr>
      <w:tr w:rsidR="0049011E" w:rsidRPr="00F0138C" w:rsidTr="000D5E20">
        <w:trPr>
          <w:trHeight w:val="1394"/>
        </w:trPr>
        <w:tc>
          <w:tcPr>
            <w:tcW w:w="629" w:type="dxa"/>
          </w:tcPr>
          <w:p w:rsidR="0049011E" w:rsidRPr="00F0138C" w:rsidRDefault="0049011E" w:rsidP="000D5E20">
            <w:pPr>
              <w:jc w:val="center"/>
              <w:rPr>
                <w:rFonts w:ascii="Times New Roman" w:hAnsi="Times New Roman" w:cs="Times New Roman"/>
                <w:sz w:val="24"/>
                <w:szCs w:val="24"/>
              </w:rPr>
            </w:pPr>
            <w:r w:rsidRPr="00F0138C">
              <w:rPr>
                <w:rFonts w:ascii="Times New Roman" w:eastAsia="Calibri" w:hAnsi="Times New Roman" w:cs="Times New Roman"/>
                <w:sz w:val="24"/>
                <w:szCs w:val="24"/>
              </w:rPr>
              <w:t>24.</w:t>
            </w:r>
          </w:p>
        </w:tc>
        <w:tc>
          <w:tcPr>
            <w:tcW w:w="6097" w:type="dxa"/>
          </w:tcPr>
          <w:p w:rsidR="0049011E" w:rsidRPr="00F0138C" w:rsidRDefault="0049011E" w:rsidP="000D5E20">
            <w:pPr>
              <w:rPr>
                <w:rFonts w:ascii="Times New Roman" w:hAnsi="Times New Roman" w:cs="Times New Roman"/>
                <w:sz w:val="24"/>
                <w:szCs w:val="24"/>
                <w:lang w:val="en-US"/>
              </w:rPr>
            </w:pPr>
            <w:r w:rsidRPr="00F0138C">
              <w:rPr>
                <w:rFonts w:ascii="Times New Roman" w:eastAsia="Calibri" w:hAnsi="Times New Roman" w:cs="Times New Roman"/>
                <w:sz w:val="24"/>
                <w:szCs w:val="24"/>
              </w:rPr>
              <w:t>Recoltarea produselor biologice, cu respectarea Normelor tehnice privind gestionarea deşeurilor rezultate din activităţi medicale şi a Metodologiei de culegere a datelor pentru baza naţională de date privind deşeurile rezultate din activităţi medicale aprobate prin Ordinul MS nr. 1226/2012 (</w:t>
            </w:r>
            <w:proofErr w:type="spellStart"/>
            <w:r w:rsidRPr="00F0138C">
              <w:rPr>
                <w:rFonts w:ascii="Times New Roman" w:eastAsia="Calibri" w:hAnsi="Times New Roman" w:cs="Times New Roman"/>
                <w:iCs/>
                <w:sz w:val="24"/>
                <w:szCs w:val="24"/>
                <w:lang w:val="en-US"/>
              </w:rPr>
              <w:t>sânge</w:t>
            </w:r>
            <w:proofErr w:type="spellEnd"/>
            <w:r w:rsidRPr="00F0138C">
              <w:rPr>
                <w:rFonts w:ascii="Times New Roman" w:eastAsia="Calibri" w:hAnsi="Times New Roman" w:cs="Times New Roman"/>
                <w:iCs/>
                <w:sz w:val="24"/>
                <w:szCs w:val="24"/>
                <w:lang w:val="en-US"/>
              </w:rPr>
              <w:t xml:space="preserve">, </w:t>
            </w:r>
            <w:proofErr w:type="spellStart"/>
            <w:r w:rsidRPr="00F0138C">
              <w:rPr>
                <w:rFonts w:ascii="Times New Roman" w:eastAsia="Calibri" w:hAnsi="Times New Roman" w:cs="Times New Roman"/>
                <w:iCs/>
                <w:sz w:val="24"/>
                <w:szCs w:val="24"/>
                <w:lang w:val="en-US"/>
              </w:rPr>
              <w:t>urină</w:t>
            </w:r>
            <w:proofErr w:type="spellEnd"/>
            <w:r w:rsidRPr="00F0138C">
              <w:rPr>
                <w:rFonts w:ascii="Times New Roman" w:eastAsia="Calibri" w:hAnsi="Times New Roman" w:cs="Times New Roman"/>
                <w:iCs/>
                <w:sz w:val="24"/>
                <w:szCs w:val="24"/>
                <w:lang w:val="en-US"/>
              </w:rPr>
              <w:t xml:space="preserve">, </w:t>
            </w:r>
            <w:proofErr w:type="spellStart"/>
            <w:r w:rsidRPr="00F0138C">
              <w:rPr>
                <w:rFonts w:ascii="Times New Roman" w:eastAsia="Calibri" w:hAnsi="Times New Roman" w:cs="Times New Roman"/>
                <w:iCs/>
                <w:sz w:val="24"/>
                <w:szCs w:val="24"/>
                <w:lang w:val="en-US"/>
              </w:rPr>
              <w:t>materii</w:t>
            </w:r>
            <w:proofErr w:type="spellEnd"/>
            <w:r w:rsidRPr="00F0138C">
              <w:rPr>
                <w:rFonts w:ascii="Times New Roman" w:eastAsia="Calibri" w:hAnsi="Times New Roman" w:cs="Times New Roman"/>
                <w:iCs/>
                <w:sz w:val="24"/>
                <w:szCs w:val="24"/>
                <w:lang w:val="en-US"/>
              </w:rPr>
              <w:t xml:space="preserve"> </w:t>
            </w:r>
            <w:proofErr w:type="spellStart"/>
            <w:r w:rsidRPr="00F0138C">
              <w:rPr>
                <w:rFonts w:ascii="Times New Roman" w:eastAsia="Calibri" w:hAnsi="Times New Roman" w:cs="Times New Roman"/>
                <w:iCs/>
                <w:sz w:val="24"/>
                <w:szCs w:val="24"/>
                <w:lang w:val="en-US"/>
              </w:rPr>
              <w:t>fecale</w:t>
            </w:r>
            <w:proofErr w:type="spellEnd"/>
            <w:r w:rsidRPr="00F0138C">
              <w:rPr>
                <w:rFonts w:ascii="Times New Roman" w:eastAsia="Calibri" w:hAnsi="Times New Roman" w:cs="Times New Roman"/>
                <w:iCs/>
                <w:sz w:val="24"/>
                <w:szCs w:val="24"/>
                <w:lang w:val="en-US"/>
              </w:rPr>
              <w:t>)</w:t>
            </w:r>
            <w:r w:rsidRPr="00F0138C">
              <w:rPr>
                <w:rFonts w:ascii="Times New Roman" w:eastAsia="Calibri" w:hAnsi="Times New Roman" w:cs="Times New Roman"/>
                <w:i/>
                <w:iCs/>
                <w:sz w:val="24"/>
                <w:szCs w:val="24"/>
                <w:lang w:val="en-US"/>
              </w:rPr>
              <w:t>;</w:t>
            </w:r>
          </w:p>
        </w:tc>
        <w:tc>
          <w:tcPr>
            <w:tcW w:w="2562" w:type="dxa"/>
          </w:tcPr>
          <w:p w:rsidR="0049011E" w:rsidRPr="00F0138C" w:rsidRDefault="0049011E" w:rsidP="000D5E20">
            <w:pPr>
              <w:rPr>
                <w:rFonts w:ascii="Times New Roman" w:hAnsi="Times New Roman" w:cs="Times New Roman"/>
                <w:sz w:val="24"/>
                <w:szCs w:val="24"/>
              </w:rPr>
            </w:pPr>
          </w:p>
        </w:tc>
      </w:tr>
    </w:tbl>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9. Durata pentru care asiguratul poate beneficia de îngrijiri medicale la domiciliu**)</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10. Justificarea recomandării privind necesitatea şi oportunitatea acordării îngrijirilor medicale la domiciliu:</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11. Justificare pentru recomandarea unui episod mai mare de 15 zile, dar nu mai mult de 30 de zile</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12. Codul de parafă al medicului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13. Date de contact medic (număr telefon, adresa email):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ind w:firstLine="709"/>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Data .......................                                                      Data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Semnătura şi parafa medicului                                    Semnătura şi parafa medicului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care a avut în îngrijire                                                din ambulatoriul de  specialitate</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asiguratul internat                                                                  medicului de familie</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Data………………….</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Numele şi prenumele în</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clar şi semnătura asiguratului,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aparţinătorului sau</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împuternicitului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Se va completa cu numărul din registrul de consultaţii/foaie de observaţie.</w:t>
      </w:r>
    </w:p>
    <w:p w:rsidR="0049011E" w:rsidRPr="00F0138C" w:rsidRDefault="0049011E" w:rsidP="0049011E">
      <w:pPr>
        <w:spacing w:after="0" w:line="240" w:lineRule="auto"/>
        <w:jc w:val="both"/>
        <w:rPr>
          <w:rFonts w:ascii="Times New Roman" w:eastAsia="Calibri" w:hAnsi="Times New Roman" w:cs="Times New Roman"/>
          <w:strike/>
          <w:sz w:val="24"/>
          <w:szCs w:val="24"/>
          <w:lang w:eastAsia="en-US"/>
        </w:rPr>
      </w:pPr>
      <w:r w:rsidRPr="00F0138C">
        <w:rPr>
          <w:rFonts w:ascii="Times New Roman" w:eastAsia="Calibri" w:hAnsi="Times New Roman" w:cs="Times New Roman"/>
          <w:sz w:val="24"/>
          <w:szCs w:val="24"/>
          <w:lang w:eastAsia="en-US"/>
        </w:rPr>
        <w:t xml:space="preserve">    **) Nu poate fi mai mare de 90 de zile/în ultimele 11 luni, respectiv 180 zile de îngrijiri/în ultimele 11 luni pentru pacienții cu vârsta sub 18 ani, în mai multe etape (episoade de îngrijire). Un episod de îngrijire este de maximum 15 zile de îngrijiri. În cazul în care îngrijirile nu sunt acordate în zile consecutive, la calcularea celor 90 de zile, respectiv celor 180 de zile, după caz, în ultimele 11 </w:t>
      </w:r>
      <w:r w:rsidRPr="00F0138C">
        <w:rPr>
          <w:rFonts w:ascii="Times New Roman" w:eastAsia="Calibri" w:hAnsi="Times New Roman" w:cs="Times New Roman"/>
          <w:sz w:val="24"/>
          <w:szCs w:val="24"/>
          <w:lang w:eastAsia="en-US"/>
        </w:rPr>
        <w:lastRenderedPageBreak/>
        <w:t>luni se iau în calcul numai zilele în care s-au acordat îngrijirile. P</w:t>
      </w:r>
      <w:r w:rsidRPr="00F0138C">
        <w:rPr>
          <w:rFonts w:ascii="Times New Roman" w:eastAsia="Calibri" w:hAnsi="Times New Roman" w:cs="Times New Roman"/>
          <w:iCs/>
          <w:sz w:val="24"/>
          <w:szCs w:val="24"/>
          <w:lang w:eastAsia="en-US"/>
        </w:rPr>
        <w:t xml:space="preserve">acienții </w:t>
      </w:r>
      <w:r w:rsidRPr="00F0138C">
        <w:rPr>
          <w:rFonts w:ascii="Times New Roman" w:eastAsia="Calibri" w:hAnsi="Times New Roman" w:cs="Times New Roman"/>
          <w:sz w:val="24"/>
          <w:szCs w:val="24"/>
          <w:lang w:eastAsia="en-US"/>
        </w:rPr>
        <w:t>cu vârsta sub 18 ani pot beneficia de 300 de zile de îngrijiri medicale la domiciliu și îngrijri paliative la domiciliu, în ultimele 11 luni.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NOTĂ:</w:t>
      </w:r>
    </w:p>
    <w:p w:rsidR="0049011E" w:rsidRPr="00F0138C" w:rsidRDefault="0049011E" w:rsidP="0049011E">
      <w:pPr>
        <w:numPr>
          <w:ilvl w:val="0"/>
          <w:numId w:val="1"/>
        </w:numPr>
        <w:spacing w:after="0" w:line="240" w:lineRule="auto"/>
        <w:ind w:left="0" w:firstLine="300"/>
        <w:contextualSpacing/>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Termenul de valabilitate al recomandării pentru îngrijiri medicale la domiciliu este de maximum 30 de zile calendaristice de la data emiterii recomandării, fără a lua în calcul ziua în care a fost emisă recomandarea.</w:t>
      </w:r>
    </w:p>
    <w:p w:rsidR="0049011E" w:rsidRPr="00F0138C" w:rsidRDefault="0049011E" w:rsidP="0049011E">
      <w:pPr>
        <w:numPr>
          <w:ilvl w:val="0"/>
          <w:numId w:val="1"/>
        </w:numPr>
        <w:spacing w:after="0" w:line="240" w:lineRule="auto"/>
        <w:ind w:left="0" w:firstLine="300"/>
        <w:contextualSpacing/>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Termenul în care asiguratul are obligaţia de a se prezenta/transmite recomandarea prin mijloace de comunicare electronică, poștă sau curierat, casei de asigurări de sănătate în a cărei rază administrativ teritorială solicită să primească aceste servicii, respectiv C.A.S.A.O.P.S.N.A.J.  pentru asigurații aflați în evidența acesteia în cazul în care C.A.S.A.O.P.S.N.A.J.  are încheiate contracte de furnizare de îngrijiri medicale la domiciliu  în raza administrativ teritorială în care asiguratul solicită să primească servicii - pentru certificarea numărului de zile de îngrijire, şi la furnizorul de îngrijiri medicale la domiciliu este de maximum  10 zile lucrătoare de la data emiterii recomandării. În termenul de valabilitate al recomandării furnizorul are obligaţia să înceapă acordarea serviciilor de îngrijiri medicale la domiciliu. În situaţia în care acordarea serviciilor de îngrijiri la domiciliu nu se începe în termenul de valabilitate al recomandării, este necesară obţinerea unei noi recomandări, dacă starea de sănătate a asiguratului impune aceasta.</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2. Casele de asigurări de sănătate nu decontează serviciile de îngrijiri medicale la domiciliu acordate în baza recomandărilor medicale în care este nominalizat furnizorul de servicii de îngrijiri medicale la domiciliu, şi nici recomandările medicale care nu cuprind o periodicitate/ritmicitate a serviciilor recomandate, diagnosticul stabilit şi statusul de performanţă ECOG al acestuia.</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II.</w:t>
      </w:r>
      <w:r w:rsidRPr="00F0138C">
        <w:rPr>
          <w:rFonts w:ascii="Times New Roman" w:eastAsia="Calibri" w:hAnsi="Times New Roman" w:cs="Times New Roman"/>
          <w:sz w:val="24"/>
          <w:szCs w:val="24"/>
          <w:lang w:eastAsia="en-US"/>
        </w:rPr>
        <w:t xml:space="preserve"> Casa de Asigurări de Sănătate....................... în a cărei rază administrativ teritorială asiguratul solicită să primească aceste servicii certifică potrivit recomandării un număr de .............. zile de îngrijiri medicale la domiciliu. Pentru asiguraţii aflați în evidența C.A.S.A.O.P.S.N.A.J.  care solicită îngrijiri medicale la domiciliu într-o zonă administrativ-teritorială care nu este acoperită cu furnizori de îngrijiri medicale la domiciliu aflați în relație contractuală cu C.A.S.A.O.P.S.N.A.J. , C.A.S.A.O.P.S.N.A.J.  certifică potrivit recomandării un număr de .............. zile de îngrijiri medicale la domiciliu şi comunică certificarea casei de asigurări de sănătate în a cărei rază administrativ teritorială asiguratul solicită să primească aceste servicii.</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Data                                                                                     VIZAT,</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b/>
          <w:sz w:val="24"/>
          <w:szCs w:val="24"/>
          <w:lang w:eastAsia="en-US"/>
        </w:rPr>
        <w:t xml:space="preserve">    III.</w:t>
      </w:r>
      <w:r w:rsidRPr="00F0138C">
        <w:rPr>
          <w:rFonts w:ascii="Times New Roman" w:eastAsia="Calibri" w:hAnsi="Times New Roman" w:cs="Times New Roman"/>
          <w:sz w:val="24"/>
          <w:szCs w:val="24"/>
          <w:lang w:eastAsia="en-US"/>
        </w:rPr>
        <w:t xml:space="preserve">  Casa de Asigurări de Sănătate.......................  în a cărei rază administrativ teritorială asiguratul solicită să primescă servicii de îngrijiri medicale la domiciliu/C.A.S.A.O.P.S.N.A.J.  înmânează/transmite lista furnizorilor de îngrijiri medicale la domiciliu cu care se află în relaţie contractuală şi datele de contact ale acestora (adresa completă sediu social, sediu lucrativ şi punct de lucru, telefon/fax, pagină web).</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Data                                                                                   VIZAT,</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                                                                           .........................</w:t>
      </w: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p>
    <w:p w:rsidR="0049011E" w:rsidRPr="00F0138C" w:rsidRDefault="0049011E" w:rsidP="0049011E">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NOTA: pct. I se completează de medicul care face recomandarea, pct. II şi III se completează de casa de asigurări de sănătate în a cărei rază administrativ teritorială asiguratul solicită să primescă servicii de îngrijiri medicale la domiciliu/ C.A.S.A.O.P.S.N.A.J. . </w:t>
      </w:r>
    </w:p>
    <w:p w:rsidR="0017166A" w:rsidRPr="0049011E" w:rsidRDefault="0017166A">
      <w:pPr>
        <w:rPr>
          <w:lang w:val="en-US"/>
        </w:rPr>
      </w:pPr>
    </w:p>
    <w:sectPr w:rsidR="0017166A" w:rsidRPr="0049011E" w:rsidSect="005C47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364F"/>
    <w:multiLevelType w:val="multilevel"/>
    <w:tmpl w:val="55E6DE66"/>
    <w:lvl w:ilvl="0">
      <w:numFmt w:val="bullet"/>
      <w:lvlText w:val="-"/>
      <w:lvlJc w:val="left"/>
      <w:pPr>
        <w:tabs>
          <w:tab w:val="num" w:pos="0"/>
        </w:tabs>
        <w:ind w:left="660" w:hanging="360"/>
      </w:pPr>
      <w:rPr>
        <w:rFonts w:ascii="Times New Roman" w:hAnsi="Times New Roman" w:cs="Times New Roman" w:hint="default"/>
      </w:rPr>
    </w:lvl>
    <w:lvl w:ilvl="1">
      <w:start w:val="1"/>
      <w:numFmt w:val="bullet"/>
      <w:lvlText w:val="o"/>
      <w:lvlJc w:val="left"/>
      <w:pPr>
        <w:tabs>
          <w:tab w:val="num" w:pos="0"/>
        </w:tabs>
        <w:ind w:left="1380" w:hanging="360"/>
      </w:pPr>
      <w:rPr>
        <w:rFonts w:ascii="Courier New" w:hAnsi="Courier New" w:cs="Courier New" w:hint="default"/>
      </w:rPr>
    </w:lvl>
    <w:lvl w:ilvl="2">
      <w:start w:val="1"/>
      <w:numFmt w:val="bullet"/>
      <w:lvlText w:val=""/>
      <w:lvlJc w:val="left"/>
      <w:pPr>
        <w:tabs>
          <w:tab w:val="num" w:pos="0"/>
        </w:tabs>
        <w:ind w:left="2100" w:hanging="360"/>
      </w:pPr>
      <w:rPr>
        <w:rFonts w:ascii="Wingdings" w:hAnsi="Wingdings" w:cs="Wingdings" w:hint="default"/>
      </w:rPr>
    </w:lvl>
    <w:lvl w:ilvl="3">
      <w:start w:val="1"/>
      <w:numFmt w:val="bullet"/>
      <w:lvlText w:val=""/>
      <w:lvlJc w:val="left"/>
      <w:pPr>
        <w:tabs>
          <w:tab w:val="num" w:pos="0"/>
        </w:tabs>
        <w:ind w:left="2820" w:hanging="360"/>
      </w:pPr>
      <w:rPr>
        <w:rFonts w:ascii="Symbol" w:hAnsi="Symbol" w:cs="Symbol" w:hint="default"/>
      </w:rPr>
    </w:lvl>
    <w:lvl w:ilvl="4">
      <w:start w:val="1"/>
      <w:numFmt w:val="bullet"/>
      <w:lvlText w:val="o"/>
      <w:lvlJc w:val="left"/>
      <w:pPr>
        <w:tabs>
          <w:tab w:val="num" w:pos="0"/>
        </w:tabs>
        <w:ind w:left="3540" w:hanging="360"/>
      </w:pPr>
      <w:rPr>
        <w:rFonts w:ascii="Courier New" w:hAnsi="Courier New" w:cs="Courier New" w:hint="default"/>
      </w:rPr>
    </w:lvl>
    <w:lvl w:ilvl="5">
      <w:start w:val="1"/>
      <w:numFmt w:val="bullet"/>
      <w:lvlText w:val=""/>
      <w:lvlJc w:val="left"/>
      <w:pPr>
        <w:tabs>
          <w:tab w:val="num" w:pos="0"/>
        </w:tabs>
        <w:ind w:left="4260" w:hanging="360"/>
      </w:pPr>
      <w:rPr>
        <w:rFonts w:ascii="Wingdings" w:hAnsi="Wingdings" w:cs="Wingdings" w:hint="default"/>
      </w:rPr>
    </w:lvl>
    <w:lvl w:ilvl="6">
      <w:start w:val="1"/>
      <w:numFmt w:val="bullet"/>
      <w:lvlText w:val=""/>
      <w:lvlJc w:val="left"/>
      <w:pPr>
        <w:tabs>
          <w:tab w:val="num" w:pos="0"/>
        </w:tabs>
        <w:ind w:left="4980" w:hanging="360"/>
      </w:pPr>
      <w:rPr>
        <w:rFonts w:ascii="Symbol" w:hAnsi="Symbol" w:cs="Symbol" w:hint="default"/>
      </w:rPr>
    </w:lvl>
    <w:lvl w:ilvl="7">
      <w:start w:val="1"/>
      <w:numFmt w:val="bullet"/>
      <w:lvlText w:val="o"/>
      <w:lvlJc w:val="left"/>
      <w:pPr>
        <w:tabs>
          <w:tab w:val="num" w:pos="0"/>
        </w:tabs>
        <w:ind w:left="5700" w:hanging="360"/>
      </w:pPr>
      <w:rPr>
        <w:rFonts w:ascii="Courier New" w:hAnsi="Courier New" w:cs="Courier New" w:hint="default"/>
      </w:rPr>
    </w:lvl>
    <w:lvl w:ilvl="8">
      <w:start w:val="1"/>
      <w:numFmt w:val="bullet"/>
      <w:lvlText w:val=""/>
      <w:lvlJc w:val="left"/>
      <w:pPr>
        <w:tabs>
          <w:tab w:val="num" w:pos="0"/>
        </w:tabs>
        <w:ind w:left="6420" w:hanging="360"/>
      </w:pPr>
      <w:rPr>
        <w:rFonts w:ascii="Wingdings" w:hAnsi="Wingdings" w:cs="Wingdings" w:hint="default"/>
      </w:rPr>
    </w:lvl>
  </w:abstractNum>
  <w:abstractNum w:abstractNumId="1">
    <w:nsid w:val="43FA1BE2"/>
    <w:multiLevelType w:val="multilevel"/>
    <w:tmpl w:val="B4B281F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011E"/>
    <w:rsid w:val="0017166A"/>
    <w:rsid w:val="003B7502"/>
    <w:rsid w:val="004407D6"/>
    <w:rsid w:val="00460F87"/>
    <w:rsid w:val="0049011E"/>
    <w:rsid w:val="005C4771"/>
    <w:rsid w:val="007648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1E"/>
    <w:pPr>
      <w:suppressAutoHyphens/>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
    <w:name w:val="Table Grid12"/>
    <w:basedOn w:val="TableNormal"/>
    <w:uiPriority w:val="59"/>
    <w:rsid w:val="0049011E"/>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48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nicoleta.popa</dc:creator>
  <cp:keywords/>
  <dc:description/>
  <cp:lastModifiedBy>nicoleta.popa</cp:lastModifiedBy>
  <cp:revision>4</cp:revision>
  <dcterms:created xsi:type="dcterms:W3CDTF">2023-06-06T06:55:00Z</dcterms:created>
  <dcterms:modified xsi:type="dcterms:W3CDTF">2024-07-03T07:51:00Z</dcterms:modified>
</cp:coreProperties>
</file>